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8" w:rsidRDefault="00341D08" w:rsidP="00341D08">
      <w:pPr>
        <w:spacing w:after="0"/>
        <w:rPr>
          <w:rFonts w:ascii="Avenir" w:hAnsi="Avenir"/>
          <w:color w:val="7030A0"/>
          <w:sz w:val="24"/>
          <w:szCs w:val="24"/>
        </w:rPr>
      </w:pPr>
    </w:p>
    <w:p w:rsidR="00B94DDD" w:rsidRPr="0049720E" w:rsidRDefault="00B94DDD" w:rsidP="0049720E">
      <w:pPr>
        <w:pStyle w:val="NormalWeb"/>
        <w:spacing w:before="0" w:beforeAutospacing="0" w:after="0" w:afterAutospacing="0"/>
        <w:rPr>
          <w:rFonts w:ascii="Avenir" w:hAnsi="Avenir"/>
          <w:color w:val="000000"/>
        </w:rPr>
      </w:pPr>
      <w:r w:rsidRPr="006C742B">
        <w:rPr>
          <w:rFonts w:ascii="Avenir" w:hAnsi="Avenir"/>
          <w:color w:val="000000"/>
        </w:rPr>
        <w:t xml:space="preserve">In 2014 The Pankhurst Trust and Manchester Women’s Aid merged to form one charity The Pankhurst Trust with the joint purpose of fighting for gender equality, ending violence against </w:t>
      </w:r>
      <w:r w:rsidRPr="0049720E">
        <w:rPr>
          <w:rFonts w:ascii="Avenir" w:hAnsi="Avenir"/>
          <w:color w:val="000000"/>
        </w:rPr>
        <w:t>women and girls and celebrating the birthplace of the Suffragette movement.</w:t>
      </w:r>
    </w:p>
    <w:p w:rsidR="00B94DDD" w:rsidRPr="00894C0B" w:rsidRDefault="00B94DDD" w:rsidP="0049720E">
      <w:pPr>
        <w:pStyle w:val="NormalWeb"/>
        <w:spacing w:before="0" w:beforeAutospacing="0" w:after="0" w:afterAutospacing="0"/>
        <w:rPr>
          <w:rFonts w:ascii="Avenir" w:hAnsi="Avenir"/>
          <w:color w:val="000000"/>
          <w:sz w:val="16"/>
          <w:szCs w:val="16"/>
        </w:rPr>
      </w:pPr>
    </w:p>
    <w:p w:rsidR="0049720E" w:rsidRPr="0049720E" w:rsidRDefault="0049720E" w:rsidP="0049720E">
      <w:pPr>
        <w:spacing w:after="0"/>
        <w:rPr>
          <w:rFonts w:ascii="Avenir" w:hAnsi="Avenir"/>
          <w:sz w:val="24"/>
          <w:szCs w:val="24"/>
        </w:rPr>
      </w:pPr>
      <w:r w:rsidRPr="0049720E">
        <w:rPr>
          <w:rFonts w:ascii="Avenir" w:hAnsi="Avenir"/>
          <w:sz w:val="24"/>
          <w:szCs w:val="24"/>
        </w:rPr>
        <w:t xml:space="preserve">SAHARA Project is National Lottery Community Funded Project designed to work with BAME women and girls, </w:t>
      </w:r>
      <w:r w:rsidR="007743B0">
        <w:rPr>
          <w:rFonts w:ascii="Avenir" w:hAnsi="Avenir"/>
          <w:sz w:val="24"/>
          <w:szCs w:val="24"/>
        </w:rPr>
        <w:t xml:space="preserve">who </w:t>
      </w:r>
      <w:bookmarkStart w:id="0" w:name="_GoBack"/>
      <w:bookmarkEnd w:id="0"/>
      <w:r w:rsidRPr="0049720E">
        <w:rPr>
          <w:rFonts w:ascii="Avenir" w:hAnsi="Avenir"/>
          <w:sz w:val="24"/>
          <w:szCs w:val="24"/>
        </w:rPr>
        <w:t>have been victim of Domestic Violence &amp; Abuse.</w:t>
      </w:r>
    </w:p>
    <w:p w:rsidR="0049720E" w:rsidRPr="00894C0B" w:rsidRDefault="0049720E" w:rsidP="0049720E">
      <w:pPr>
        <w:pStyle w:val="NormalWeb"/>
        <w:spacing w:before="0" w:beforeAutospacing="0" w:after="0" w:afterAutospacing="0"/>
        <w:rPr>
          <w:rFonts w:ascii="Avenir" w:hAnsi="Avenir"/>
          <w:color w:val="000000"/>
          <w:sz w:val="16"/>
          <w:szCs w:val="16"/>
        </w:rPr>
      </w:pPr>
    </w:p>
    <w:p w:rsidR="00B94DDD" w:rsidRPr="0049720E" w:rsidRDefault="00B94DDD" w:rsidP="0049720E">
      <w:pPr>
        <w:pStyle w:val="NormalWeb"/>
        <w:spacing w:before="0" w:beforeAutospacing="0" w:after="0" w:afterAutospacing="0"/>
        <w:rPr>
          <w:rFonts w:ascii="Avenir" w:hAnsi="Avenir" w:cs="Calibri"/>
          <w:color w:val="000000"/>
        </w:rPr>
      </w:pPr>
      <w:r w:rsidRPr="0049720E">
        <w:rPr>
          <w:rFonts w:ascii="Avenir" w:hAnsi="Avenir"/>
          <w:color w:val="000000"/>
        </w:rPr>
        <w:t>As well as the Heritage Museum</w:t>
      </w:r>
      <w:r w:rsidR="00152FEE">
        <w:rPr>
          <w:rFonts w:ascii="Avenir" w:hAnsi="Avenir"/>
          <w:color w:val="000000"/>
        </w:rPr>
        <w:t>,</w:t>
      </w:r>
      <w:r w:rsidRPr="0049720E">
        <w:rPr>
          <w:rFonts w:ascii="Avenir" w:hAnsi="Avenir"/>
          <w:color w:val="000000"/>
        </w:rPr>
        <w:t xml:space="preserve"> we also support women who have left, want to leave or whom are in the process of leaving an abusive relationship.</w:t>
      </w:r>
      <w:r w:rsidRPr="0049720E">
        <w:rPr>
          <w:rFonts w:ascii="Calibri" w:hAnsi="Calibri" w:cs="Calibri"/>
          <w:color w:val="000000"/>
        </w:rPr>
        <w:t> </w:t>
      </w:r>
    </w:p>
    <w:p w:rsidR="00B94DDD" w:rsidRPr="00831B78" w:rsidRDefault="00B94DDD" w:rsidP="00341D08">
      <w:pPr>
        <w:spacing w:after="0"/>
        <w:rPr>
          <w:rFonts w:ascii="Avenir" w:hAnsi="Avenir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Role</w:t>
            </w:r>
            <w:r>
              <w:rPr>
                <w:rFonts w:ascii="Avenir" w:hAnsi="Avenir"/>
                <w:color w:val="7030A0"/>
                <w:sz w:val="24"/>
                <w:szCs w:val="24"/>
              </w:rPr>
              <w:t xml:space="preserve"> </w:t>
            </w: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: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831B78" w:rsidRPr="00090E0A" w:rsidRDefault="00090E0A" w:rsidP="00831B78">
            <w:pPr>
              <w:jc w:val="both"/>
              <w:rPr>
                <w:rFonts w:ascii="Avenir" w:hAnsi="Avenir"/>
                <w:color w:val="7030A0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Group Support Volunteer</w:t>
            </w:r>
          </w:p>
          <w:p w:rsidR="00831B78" w:rsidRPr="00090E0A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 xml:space="preserve">Reports to:  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831B78" w:rsidRPr="00090E0A" w:rsidRDefault="00090E0A" w:rsidP="00831B78">
            <w:pPr>
              <w:jc w:val="both"/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Group Work Facilitator</w:t>
            </w:r>
          </w:p>
          <w:p w:rsidR="00831B78" w:rsidRPr="00090E0A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Hours: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4845BF" w:rsidRDefault="004845BF" w:rsidP="00831B78">
            <w:pPr>
              <w:jc w:val="both"/>
              <w:rPr>
                <w:rFonts w:ascii="Avenir" w:hAnsi="Avenir"/>
                <w:color w:val="000000" w:themeColor="text1"/>
                <w:sz w:val="24"/>
                <w:szCs w:val="24"/>
              </w:rPr>
            </w:pPr>
            <w:r w:rsidRPr="00090E0A">
              <w:rPr>
                <w:rFonts w:ascii="Avenir" w:hAnsi="Avenir"/>
                <w:color w:val="000000" w:themeColor="text1"/>
                <w:sz w:val="24"/>
                <w:szCs w:val="24"/>
              </w:rPr>
              <w:t xml:space="preserve">Various days </w:t>
            </w:r>
            <w:r w:rsidR="005E6CCD">
              <w:rPr>
                <w:rFonts w:ascii="Avenir" w:hAnsi="Avenir"/>
                <w:color w:val="000000" w:themeColor="text1"/>
                <w:sz w:val="24"/>
                <w:szCs w:val="24"/>
              </w:rPr>
              <w:t>– Mon. Tue, Wed, Fri (not Thursday)</w:t>
            </w:r>
          </w:p>
          <w:p w:rsidR="005E6CCD" w:rsidRPr="00090E0A" w:rsidRDefault="005E6CCD" w:rsidP="00831B78">
            <w:pPr>
              <w:jc w:val="both"/>
              <w:rPr>
                <w:rFonts w:ascii="Avenir" w:hAnsi="Avenir"/>
                <w:color w:val="000000" w:themeColor="text1"/>
                <w:sz w:val="24"/>
                <w:szCs w:val="24"/>
              </w:rPr>
            </w:pPr>
            <w:r>
              <w:rPr>
                <w:rFonts w:ascii="Avenir" w:hAnsi="Avenir"/>
                <w:color w:val="000000" w:themeColor="text1"/>
                <w:sz w:val="24"/>
                <w:szCs w:val="24"/>
              </w:rPr>
              <w:t>Needed for all of 8-12 week period</w:t>
            </w:r>
          </w:p>
          <w:p w:rsidR="00DF3310" w:rsidRDefault="00090E0A" w:rsidP="005E6CCD">
            <w:pPr>
              <w:jc w:val="both"/>
              <w:rPr>
                <w:rFonts w:ascii="Avenir" w:hAnsi="Avenir"/>
                <w:color w:val="000000" w:themeColor="text1"/>
                <w:sz w:val="24"/>
                <w:szCs w:val="24"/>
              </w:rPr>
            </w:pPr>
            <w:r w:rsidRPr="00090E0A">
              <w:rPr>
                <w:rFonts w:ascii="Avenir" w:hAnsi="Avenir"/>
                <w:color w:val="000000" w:themeColor="text1"/>
                <w:sz w:val="24"/>
                <w:szCs w:val="24"/>
              </w:rPr>
              <w:t>9:30am- 12:30pm</w:t>
            </w:r>
          </w:p>
          <w:p w:rsidR="003803FB" w:rsidRDefault="003803FB" w:rsidP="005E6CCD">
            <w:pPr>
              <w:jc w:val="both"/>
              <w:rPr>
                <w:rFonts w:ascii="Avenir" w:hAnsi="Avenir"/>
                <w:color w:val="000000" w:themeColor="text1"/>
                <w:sz w:val="24"/>
                <w:szCs w:val="24"/>
              </w:rPr>
            </w:pPr>
          </w:p>
          <w:p w:rsidR="003803FB" w:rsidRPr="003803FB" w:rsidRDefault="003803FB" w:rsidP="005E6CCD">
            <w:pPr>
              <w:jc w:val="both"/>
              <w:rPr>
                <w:rFonts w:ascii="Avenir" w:hAnsi="Aveni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venir" w:hAnsi="Avenir"/>
                <w:color w:val="000000" w:themeColor="text1"/>
                <w:sz w:val="24"/>
                <w:szCs w:val="24"/>
              </w:rPr>
              <w:t>January to April</w:t>
            </w:r>
            <w:r w:rsidR="006B076C">
              <w:rPr>
                <w:rFonts w:ascii="Avenir" w:hAnsi="Avenir"/>
                <w:color w:val="000000" w:themeColor="text1"/>
                <w:sz w:val="24"/>
                <w:szCs w:val="24"/>
              </w:rPr>
              <w:t xml:space="preserve"> / </w:t>
            </w:r>
            <w:r>
              <w:rPr>
                <w:rFonts w:ascii="Avenir" w:hAnsi="Avenir"/>
                <w:color w:val="000000" w:themeColor="text1"/>
                <w:sz w:val="24"/>
                <w:szCs w:val="24"/>
              </w:rPr>
              <w:t>April to July</w:t>
            </w:r>
            <w:r w:rsidR="006B076C">
              <w:rPr>
                <w:rFonts w:ascii="Avenir" w:hAnsi="Avenir"/>
                <w:color w:val="000000" w:themeColor="text1"/>
                <w:sz w:val="24"/>
                <w:szCs w:val="24"/>
              </w:rPr>
              <w:t xml:space="preserve"> / </w:t>
            </w:r>
            <w:r w:rsidRPr="003803FB">
              <w:rPr>
                <w:rFonts w:ascii="Avenir" w:hAnsi="Avenir"/>
                <w:b/>
                <w:color w:val="000000" w:themeColor="text1"/>
                <w:sz w:val="24"/>
                <w:szCs w:val="24"/>
              </w:rPr>
              <w:t>September to December – now recruiting</w:t>
            </w:r>
          </w:p>
          <w:p w:rsidR="003803FB" w:rsidRPr="00090E0A" w:rsidRDefault="003803FB" w:rsidP="005E6CCD">
            <w:pPr>
              <w:jc w:val="both"/>
              <w:rPr>
                <w:rFonts w:ascii="Avenir" w:hAnsi="Avenir"/>
                <w:sz w:val="24"/>
                <w:szCs w:val="24"/>
              </w:rPr>
            </w:pPr>
          </w:p>
        </w:tc>
      </w:tr>
      <w:tr w:rsidR="004845BF" w:rsidRPr="00831B78" w:rsidTr="00090E0A">
        <w:tc>
          <w:tcPr>
            <w:tcW w:w="1701" w:type="dxa"/>
          </w:tcPr>
          <w:p w:rsidR="004845BF" w:rsidRPr="00831B78" w:rsidRDefault="004845BF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>
              <w:rPr>
                <w:rFonts w:ascii="Avenir" w:hAnsi="Avenir"/>
                <w:color w:val="7030A0"/>
                <w:sz w:val="24"/>
                <w:szCs w:val="24"/>
              </w:rPr>
              <w:t>Location</w:t>
            </w:r>
          </w:p>
        </w:tc>
        <w:tc>
          <w:tcPr>
            <w:tcW w:w="8755" w:type="dxa"/>
          </w:tcPr>
          <w:p w:rsidR="00090E0A" w:rsidRPr="00090E0A" w:rsidRDefault="003803FB" w:rsidP="0010365E">
            <w:pPr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Pankhurst Centre</w:t>
            </w:r>
          </w:p>
          <w:p w:rsidR="004845BF" w:rsidRPr="00090E0A" w:rsidRDefault="004845BF" w:rsidP="0010365E">
            <w:pPr>
              <w:rPr>
                <w:rFonts w:ascii="Avenir" w:hAnsi="Avenir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 xml:space="preserve">Aims of Role:    </w:t>
            </w:r>
            <w:r w:rsidRPr="00831B78">
              <w:rPr>
                <w:rFonts w:ascii="Avenir" w:hAnsi="Avenir"/>
                <w:b/>
                <w:color w:val="7030A0"/>
                <w:sz w:val="24"/>
                <w:szCs w:val="24"/>
              </w:rPr>
              <w:t xml:space="preserve"> </w:t>
            </w: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 xml:space="preserve">               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831B78" w:rsidRDefault="00090E0A" w:rsidP="00831B78">
            <w:p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Help ensure a positive and empowering experience for Manchester Women’s Aid service users attending group</w:t>
            </w:r>
            <w:r w:rsidR="003803FB">
              <w:rPr>
                <w:rFonts w:ascii="Avenir" w:hAnsi="Avenir"/>
                <w:sz w:val="24"/>
                <w:szCs w:val="24"/>
              </w:rPr>
              <w:t xml:space="preserve"> counselling</w:t>
            </w:r>
            <w:r w:rsidRPr="00090E0A">
              <w:rPr>
                <w:rFonts w:ascii="Avenir" w:hAnsi="Avenir"/>
                <w:sz w:val="24"/>
                <w:szCs w:val="24"/>
              </w:rPr>
              <w:t xml:space="preserve">. </w:t>
            </w:r>
          </w:p>
          <w:p w:rsidR="005E6CCD" w:rsidRPr="00090E0A" w:rsidRDefault="005E6CCD" w:rsidP="00831B78">
            <w:pPr>
              <w:rPr>
                <w:rFonts w:ascii="Avenir" w:hAnsi="Avenir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Key Tasks: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090E0A" w:rsidRPr="00090E0A" w:rsidRDefault="00090E0A" w:rsidP="00090E0A">
            <w:pPr>
              <w:pStyle w:val="ListParagraph"/>
              <w:numPr>
                <w:ilvl w:val="0"/>
                <w:numId w:val="4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To assist the facilitator in setting up the room, resources and refreshments.</w:t>
            </w:r>
          </w:p>
          <w:p w:rsidR="00090E0A" w:rsidRPr="00090E0A" w:rsidRDefault="00090E0A" w:rsidP="00090E0A">
            <w:pPr>
              <w:pStyle w:val="ListParagraph"/>
              <w:numPr>
                <w:ilvl w:val="0"/>
                <w:numId w:val="4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 xml:space="preserve">Organise group resources and ensure participants complete relevant paperwork at beginning and end of group work as appropriate. </w:t>
            </w:r>
          </w:p>
          <w:p w:rsidR="00090E0A" w:rsidRPr="00090E0A" w:rsidRDefault="00090E0A" w:rsidP="00090E0A">
            <w:pPr>
              <w:pStyle w:val="ListParagraph"/>
              <w:numPr>
                <w:ilvl w:val="0"/>
                <w:numId w:val="4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Help participants settle into the group and encourage service user participation during the group. Offer support if necessary.</w:t>
            </w:r>
          </w:p>
          <w:p w:rsidR="004845BF" w:rsidRDefault="00090E0A" w:rsidP="00090E0A">
            <w:pPr>
              <w:pStyle w:val="ListParagraph"/>
              <w:numPr>
                <w:ilvl w:val="0"/>
                <w:numId w:val="4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To assist other volunteers / staff with clearing up after the group.</w:t>
            </w:r>
          </w:p>
          <w:p w:rsidR="005E6CCD" w:rsidRPr="00090E0A" w:rsidRDefault="005E6CCD" w:rsidP="005E6CCD">
            <w:pPr>
              <w:pStyle w:val="ListParagraph"/>
              <w:ind w:left="360"/>
              <w:rPr>
                <w:rFonts w:ascii="Avenir" w:hAnsi="Avenir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Qualities / Skills: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090E0A" w:rsidRPr="00090E0A" w:rsidRDefault="00090E0A" w:rsidP="00090E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Good communication and interpersonal skills;</w:t>
            </w:r>
          </w:p>
          <w:p w:rsidR="00090E0A" w:rsidRPr="00090E0A" w:rsidRDefault="00B94DDD" w:rsidP="00090E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A</w:t>
            </w:r>
            <w:r w:rsidR="00090E0A" w:rsidRPr="00090E0A">
              <w:rPr>
                <w:rFonts w:ascii="Avenir" w:hAnsi="Avenir"/>
                <w:sz w:val="24"/>
                <w:szCs w:val="24"/>
              </w:rPr>
              <w:t xml:space="preserve"> friendly, approachable, enthusiastic and sensitive manner. </w:t>
            </w:r>
          </w:p>
          <w:p w:rsidR="00090E0A" w:rsidRPr="00090E0A" w:rsidRDefault="00090E0A" w:rsidP="00090E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 xml:space="preserve">Good level of literacy and confident in group situations. </w:t>
            </w:r>
          </w:p>
          <w:p w:rsidR="0010365E" w:rsidRDefault="00090E0A" w:rsidP="00090E0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 xml:space="preserve">Presentation skills </w:t>
            </w:r>
          </w:p>
          <w:p w:rsidR="005E6CCD" w:rsidRPr="003803FB" w:rsidRDefault="005E6CCD" w:rsidP="003803FB">
            <w:pPr>
              <w:jc w:val="both"/>
              <w:rPr>
                <w:rFonts w:ascii="Avenir" w:hAnsi="Avenir"/>
                <w:sz w:val="24"/>
                <w:szCs w:val="24"/>
              </w:rPr>
            </w:pPr>
          </w:p>
        </w:tc>
      </w:tr>
      <w:tr w:rsidR="00831B78" w:rsidRPr="00831B78" w:rsidTr="00090E0A">
        <w:tc>
          <w:tcPr>
            <w:tcW w:w="1701" w:type="dxa"/>
          </w:tcPr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Training /</w:t>
            </w:r>
            <w:r w:rsidR="00891FDC">
              <w:rPr>
                <w:rFonts w:ascii="Avenir" w:hAnsi="Avenir"/>
                <w:color w:val="7030A0"/>
                <w:sz w:val="24"/>
                <w:szCs w:val="24"/>
              </w:rPr>
              <w:t xml:space="preserve"> </w:t>
            </w:r>
            <w:r w:rsidRPr="00831B78">
              <w:rPr>
                <w:rFonts w:ascii="Avenir" w:hAnsi="Avenir"/>
                <w:color w:val="7030A0"/>
                <w:sz w:val="24"/>
                <w:szCs w:val="24"/>
              </w:rPr>
              <w:t>Supervision:</w:t>
            </w:r>
          </w:p>
          <w:p w:rsidR="00831B78" w:rsidRPr="00831B78" w:rsidRDefault="00831B78" w:rsidP="00831B78">
            <w:pPr>
              <w:rPr>
                <w:rFonts w:ascii="Avenir" w:hAnsi="Avenir"/>
                <w:color w:val="7030A0"/>
                <w:sz w:val="24"/>
                <w:szCs w:val="24"/>
              </w:rPr>
            </w:pPr>
          </w:p>
        </w:tc>
        <w:tc>
          <w:tcPr>
            <w:tcW w:w="8755" w:type="dxa"/>
          </w:tcPr>
          <w:p w:rsidR="003803FB" w:rsidRDefault="003803FB" w:rsidP="003803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DBS</w:t>
            </w:r>
            <w:r w:rsidR="00B94DDD">
              <w:rPr>
                <w:rFonts w:ascii="Avenir" w:hAnsi="Avenir"/>
                <w:sz w:val="24"/>
                <w:szCs w:val="24"/>
              </w:rPr>
              <w:t xml:space="preserve"> </w:t>
            </w:r>
            <w:r>
              <w:rPr>
                <w:rFonts w:ascii="Avenir" w:hAnsi="Avenir"/>
                <w:sz w:val="24"/>
                <w:szCs w:val="24"/>
              </w:rPr>
              <w:t xml:space="preserve">– </w:t>
            </w:r>
            <w:r w:rsidR="00B94DDD">
              <w:rPr>
                <w:rFonts w:ascii="Avenir" w:hAnsi="Avenir"/>
                <w:sz w:val="24"/>
                <w:szCs w:val="24"/>
              </w:rPr>
              <w:t xml:space="preserve"> </w:t>
            </w:r>
            <w:r>
              <w:rPr>
                <w:rFonts w:ascii="Avenir" w:hAnsi="Avenir"/>
                <w:sz w:val="24"/>
                <w:szCs w:val="24"/>
              </w:rPr>
              <w:t xml:space="preserve">to be performed by Centre </w:t>
            </w:r>
          </w:p>
          <w:p w:rsidR="0088690B" w:rsidRDefault="0088690B" w:rsidP="003803FB">
            <w:pPr>
              <w:pStyle w:val="ListParagraph"/>
              <w:numPr>
                <w:ilvl w:val="0"/>
                <w:numId w:val="6"/>
              </w:numPr>
              <w:rPr>
                <w:rFonts w:ascii="Avenir" w:hAnsi="Avenir"/>
                <w:sz w:val="24"/>
                <w:szCs w:val="24"/>
              </w:rPr>
            </w:pPr>
            <w:r>
              <w:rPr>
                <w:rFonts w:ascii="Avenir" w:hAnsi="Avenir"/>
                <w:sz w:val="24"/>
                <w:szCs w:val="24"/>
              </w:rPr>
              <w:t>DVA and Safeguarding training</w:t>
            </w:r>
          </w:p>
          <w:p w:rsidR="00090E0A" w:rsidRPr="00090E0A" w:rsidRDefault="00090E0A" w:rsidP="003803FB">
            <w:pPr>
              <w:pStyle w:val="ListParagraph"/>
              <w:numPr>
                <w:ilvl w:val="0"/>
                <w:numId w:val="6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A period of on-the-job training as a Pankhurst Drop in Volunteer.</w:t>
            </w:r>
          </w:p>
          <w:p w:rsidR="00891FDC" w:rsidRPr="00090E0A" w:rsidRDefault="00090E0A" w:rsidP="003803FB">
            <w:pPr>
              <w:pStyle w:val="ListParagraph"/>
              <w:numPr>
                <w:ilvl w:val="0"/>
                <w:numId w:val="6"/>
              </w:numPr>
              <w:rPr>
                <w:rFonts w:ascii="Avenir" w:hAnsi="Avenir"/>
                <w:sz w:val="24"/>
                <w:szCs w:val="24"/>
              </w:rPr>
            </w:pPr>
            <w:r w:rsidRPr="00090E0A">
              <w:rPr>
                <w:rFonts w:ascii="Avenir" w:hAnsi="Avenir"/>
                <w:sz w:val="24"/>
                <w:szCs w:val="24"/>
              </w:rPr>
              <w:t>Supervision and support available from the Volunteer Co-ordinator</w:t>
            </w:r>
          </w:p>
        </w:tc>
      </w:tr>
    </w:tbl>
    <w:p w:rsidR="00BB465A" w:rsidRDefault="00BB465A" w:rsidP="0088690B">
      <w:pPr>
        <w:spacing w:after="0" w:line="240" w:lineRule="auto"/>
        <w:rPr>
          <w:rFonts w:ascii="Avenir" w:hAnsi="Avenir"/>
          <w:sz w:val="24"/>
          <w:szCs w:val="24"/>
        </w:rPr>
      </w:pPr>
    </w:p>
    <w:p w:rsidR="003803FB" w:rsidRPr="0088690B" w:rsidRDefault="003803FB" w:rsidP="0088690B">
      <w:pPr>
        <w:spacing w:after="0" w:line="240" w:lineRule="auto"/>
        <w:rPr>
          <w:rFonts w:ascii="Avenir" w:hAnsi="Avenir"/>
          <w:b/>
          <w:sz w:val="24"/>
          <w:szCs w:val="24"/>
        </w:rPr>
      </w:pPr>
      <w:r w:rsidRPr="0088690B">
        <w:rPr>
          <w:rFonts w:ascii="Avenir" w:hAnsi="Avenir"/>
          <w:b/>
          <w:sz w:val="24"/>
          <w:szCs w:val="24"/>
        </w:rPr>
        <w:t>How to Apply</w:t>
      </w:r>
      <w:r w:rsidR="0088690B" w:rsidRPr="0088690B">
        <w:rPr>
          <w:rFonts w:ascii="Avenir" w:hAnsi="Avenir"/>
          <w:b/>
          <w:sz w:val="24"/>
          <w:szCs w:val="24"/>
        </w:rPr>
        <w:t>:</w:t>
      </w:r>
    </w:p>
    <w:p w:rsidR="0088690B" w:rsidRPr="00E15A9B" w:rsidRDefault="0088690B" w:rsidP="0088690B">
      <w:pPr>
        <w:spacing w:after="0" w:line="240" w:lineRule="auto"/>
        <w:rPr>
          <w:rFonts w:ascii="Avenir" w:hAnsi="Avenir"/>
          <w:sz w:val="24"/>
          <w:szCs w:val="24"/>
        </w:rPr>
      </w:pPr>
      <w:r w:rsidRPr="00E15A9B">
        <w:rPr>
          <w:rFonts w:ascii="Avenir" w:hAnsi="Avenir"/>
          <w:sz w:val="24"/>
          <w:szCs w:val="24"/>
        </w:rPr>
        <w:t xml:space="preserve">Download and application form </w:t>
      </w:r>
      <w:hyperlink r:id="rId7" w:history="1">
        <w:r w:rsidRPr="00E15A9B">
          <w:rPr>
            <w:rStyle w:val="Hyperlink"/>
            <w:rFonts w:ascii="Avenir" w:hAnsi="Avenir"/>
            <w:sz w:val="24"/>
            <w:szCs w:val="24"/>
          </w:rPr>
          <w:t>https://www.pankhursttrust.org/get-involved/volunteer</w:t>
        </w:r>
      </w:hyperlink>
    </w:p>
    <w:p w:rsidR="003803FB" w:rsidRPr="00831B78" w:rsidRDefault="003803FB" w:rsidP="0088690B">
      <w:pPr>
        <w:spacing w:after="0" w:line="240" w:lineRule="auto"/>
        <w:rPr>
          <w:rFonts w:ascii="Avenir" w:hAnsi="Avenir"/>
          <w:sz w:val="24"/>
          <w:szCs w:val="24"/>
        </w:rPr>
      </w:pPr>
      <w:r w:rsidRPr="00E15A9B">
        <w:rPr>
          <w:rFonts w:ascii="Avenir" w:hAnsi="Avenir"/>
          <w:sz w:val="24"/>
          <w:szCs w:val="24"/>
        </w:rPr>
        <w:t>Send in a</w:t>
      </w:r>
      <w:r w:rsidR="0088690B" w:rsidRPr="00E15A9B">
        <w:rPr>
          <w:rFonts w:ascii="Avenir" w:hAnsi="Avenir"/>
          <w:sz w:val="24"/>
          <w:szCs w:val="24"/>
        </w:rPr>
        <w:t xml:space="preserve"> volunteer application form to </w:t>
      </w:r>
      <w:hyperlink r:id="rId8" w:history="1">
        <w:r w:rsidR="001F0E72" w:rsidRPr="00E15A9B">
          <w:rPr>
            <w:rStyle w:val="Hyperlink"/>
            <w:rFonts w:ascii="Avenir" w:hAnsi="Avenir"/>
            <w:sz w:val="24"/>
            <w:szCs w:val="24"/>
          </w:rPr>
          <w:t>admin@thepankhurstcentre.org.uk</w:t>
        </w:r>
      </w:hyperlink>
      <w:r w:rsidR="001F0E72">
        <w:t xml:space="preserve"> </w:t>
      </w:r>
    </w:p>
    <w:sectPr w:rsidR="003803FB" w:rsidRPr="00831B78" w:rsidSect="00831B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7C" w:rsidRDefault="00E72A7C" w:rsidP="009F4706">
      <w:pPr>
        <w:spacing w:after="0" w:line="240" w:lineRule="auto"/>
      </w:pPr>
      <w:r>
        <w:separator/>
      </w:r>
    </w:p>
  </w:endnote>
  <w:endnote w:type="continuationSeparator" w:id="0">
    <w:p w:rsidR="00E72A7C" w:rsidRDefault="00E72A7C" w:rsidP="009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06" w:rsidRDefault="009F4706">
    <w:pPr>
      <w:pStyle w:val="Footer"/>
    </w:pPr>
    <w:r>
      <w:rPr>
        <w:rFonts w:eastAsia="Times New Roman"/>
        <w:noProof/>
        <w:lang w:eastAsia="en-GB"/>
      </w:rPr>
      <w:drawing>
        <wp:inline distT="0" distB="0" distL="0" distR="0" wp14:anchorId="7EF7BCBC" wp14:editId="011073DC">
          <wp:extent cx="5055870" cy="753110"/>
          <wp:effectExtent l="0" t="0" r="0" b="8890"/>
          <wp:docPr id="4" name="Picture 4" descr="cid:B953EA94-85C1-4F46-AFCA-1DA1649D9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69655E-7E01-4AB6-A196-4A11C259B1DB" descr="cid:B953EA94-85C1-4F46-AFCA-1DA1649D909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7C" w:rsidRDefault="00E72A7C" w:rsidP="009F4706">
      <w:pPr>
        <w:spacing w:after="0" w:line="240" w:lineRule="auto"/>
      </w:pPr>
      <w:r>
        <w:separator/>
      </w:r>
    </w:p>
  </w:footnote>
  <w:footnote w:type="continuationSeparator" w:id="0">
    <w:p w:rsidR="00E72A7C" w:rsidRDefault="00E72A7C" w:rsidP="009F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0A" w:rsidRDefault="00831B78" w:rsidP="00831B78">
    <w:pPr>
      <w:pStyle w:val="Header"/>
      <w:rPr>
        <w:color w:val="7030A0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AF0D40" wp14:editId="789C061F">
          <wp:simplePos x="0" y="0"/>
          <wp:positionH relativeFrom="margin">
            <wp:posOffset>0</wp:posOffset>
          </wp:positionH>
          <wp:positionV relativeFrom="paragraph">
            <wp:posOffset>-220980</wp:posOffset>
          </wp:positionV>
          <wp:extent cx="666750" cy="771525"/>
          <wp:effectExtent l="0" t="0" r="0" b="9525"/>
          <wp:wrapSquare wrapText="bothSides"/>
          <wp:docPr id="1" name="Picture 1" descr="C:\Users\Philippa\AppData\Local\Microsoft\Windows\Temporary Internet Files\Content.Word\Angel Icon_Prin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a\AppData\Local\Microsoft\Windows\Temporary Internet Files\Content.Word\Angel Icon_Print-cmyk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80"/>
                  <a:stretch/>
                </pic:blipFill>
                <pic:spPr bwMode="auto">
                  <a:xfrm>
                    <a:off x="0" y="0"/>
                    <a:ext cx="666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B050"/>
        <w:sz w:val="36"/>
        <w:szCs w:val="36"/>
      </w:rPr>
      <w:t>Role Description</w:t>
    </w:r>
    <w:r w:rsidR="00894C0B">
      <w:rPr>
        <w:color w:val="00B050"/>
        <w:sz w:val="36"/>
        <w:szCs w:val="36"/>
      </w:rPr>
      <w:t xml:space="preserve"> : </w:t>
    </w:r>
    <w:r w:rsidR="00090E0A">
      <w:rPr>
        <w:color w:val="00B050"/>
        <w:sz w:val="36"/>
        <w:szCs w:val="36"/>
      </w:rPr>
      <w:t>Group Support Volunteer</w:t>
    </w:r>
    <w:r w:rsidR="00090E0A" w:rsidRPr="00BE2BC9">
      <w:rPr>
        <w:color w:val="7030A0"/>
        <w:sz w:val="36"/>
        <w:szCs w:val="36"/>
      </w:rPr>
      <w:t xml:space="preserve"> </w:t>
    </w:r>
  </w:p>
  <w:p w:rsidR="00C93693" w:rsidRPr="00831B78" w:rsidRDefault="00C93693" w:rsidP="00831B78">
    <w:pPr>
      <w:pStyle w:val="Header"/>
    </w:pPr>
    <w:r w:rsidRPr="00BE2BC9">
      <w:rPr>
        <w:color w:val="7030A0"/>
        <w:sz w:val="36"/>
        <w:szCs w:val="36"/>
      </w:rPr>
      <w:t>The Pankhurst Trust (Incorporating Manchester Women’s Aid)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BA3"/>
    <w:multiLevelType w:val="hybridMultilevel"/>
    <w:tmpl w:val="74A41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A3E49"/>
    <w:multiLevelType w:val="hybridMultilevel"/>
    <w:tmpl w:val="78421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A205E"/>
    <w:multiLevelType w:val="hybridMultilevel"/>
    <w:tmpl w:val="F3F2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64450"/>
    <w:multiLevelType w:val="hybridMultilevel"/>
    <w:tmpl w:val="02B8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831FC"/>
    <w:multiLevelType w:val="hybridMultilevel"/>
    <w:tmpl w:val="1940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563D5"/>
    <w:multiLevelType w:val="hybridMultilevel"/>
    <w:tmpl w:val="653C1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6"/>
    <w:rsid w:val="00037909"/>
    <w:rsid w:val="00090E0A"/>
    <w:rsid w:val="000A212C"/>
    <w:rsid w:val="0010365E"/>
    <w:rsid w:val="001132DF"/>
    <w:rsid w:val="00152FEE"/>
    <w:rsid w:val="001813AE"/>
    <w:rsid w:val="001F0E72"/>
    <w:rsid w:val="00226A81"/>
    <w:rsid w:val="002C3897"/>
    <w:rsid w:val="002D0A58"/>
    <w:rsid w:val="00321304"/>
    <w:rsid w:val="00341D08"/>
    <w:rsid w:val="003803FB"/>
    <w:rsid w:val="003903F7"/>
    <w:rsid w:val="004247E9"/>
    <w:rsid w:val="004845BF"/>
    <w:rsid w:val="0049720E"/>
    <w:rsid w:val="00534342"/>
    <w:rsid w:val="00587CD0"/>
    <w:rsid w:val="005C436D"/>
    <w:rsid w:val="005E6CCD"/>
    <w:rsid w:val="006B076C"/>
    <w:rsid w:val="006F614F"/>
    <w:rsid w:val="007743B0"/>
    <w:rsid w:val="00796D94"/>
    <w:rsid w:val="00831B78"/>
    <w:rsid w:val="00832B02"/>
    <w:rsid w:val="008410EA"/>
    <w:rsid w:val="0088690B"/>
    <w:rsid w:val="00891FDC"/>
    <w:rsid w:val="00894C0B"/>
    <w:rsid w:val="00943CB1"/>
    <w:rsid w:val="009B171A"/>
    <w:rsid w:val="009F4706"/>
    <w:rsid w:val="00A128A9"/>
    <w:rsid w:val="00B67294"/>
    <w:rsid w:val="00B94DDD"/>
    <w:rsid w:val="00B972B7"/>
    <w:rsid w:val="00BB465A"/>
    <w:rsid w:val="00BE2BC9"/>
    <w:rsid w:val="00BE3107"/>
    <w:rsid w:val="00C93693"/>
    <w:rsid w:val="00D21E04"/>
    <w:rsid w:val="00D30840"/>
    <w:rsid w:val="00DC2092"/>
    <w:rsid w:val="00DD0A68"/>
    <w:rsid w:val="00DE1FB9"/>
    <w:rsid w:val="00DF3310"/>
    <w:rsid w:val="00E15A9B"/>
    <w:rsid w:val="00E72A7C"/>
    <w:rsid w:val="00E86444"/>
    <w:rsid w:val="00E87AEF"/>
    <w:rsid w:val="00EC2757"/>
    <w:rsid w:val="00F83974"/>
    <w:rsid w:val="00F83B35"/>
    <w:rsid w:val="00F84C95"/>
    <w:rsid w:val="00F85F74"/>
    <w:rsid w:val="00FB6015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B7F0CBE-42AA-4625-8256-3199736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06"/>
  </w:style>
  <w:style w:type="paragraph" w:styleId="Footer">
    <w:name w:val="footer"/>
    <w:basedOn w:val="Normal"/>
    <w:link w:val="FooterChar"/>
    <w:uiPriority w:val="99"/>
    <w:unhideWhenUsed/>
    <w:rsid w:val="009F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06"/>
  </w:style>
  <w:style w:type="paragraph" w:styleId="BalloonText">
    <w:name w:val="Balloon Text"/>
    <w:basedOn w:val="Normal"/>
    <w:link w:val="BalloonTextChar"/>
    <w:uiPriority w:val="99"/>
    <w:semiHidden/>
    <w:unhideWhenUsed/>
    <w:rsid w:val="009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9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pankhurstcen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khursttrust.org/get-involved/volunte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953EA94-85C1-4F46-AFCA-1DA1649D9098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Ladd</dc:creator>
  <cp:lastModifiedBy>Esther Lisk Carew</cp:lastModifiedBy>
  <cp:revision>12</cp:revision>
  <cp:lastPrinted>2018-08-09T17:45:00Z</cp:lastPrinted>
  <dcterms:created xsi:type="dcterms:W3CDTF">2018-09-27T09:08:00Z</dcterms:created>
  <dcterms:modified xsi:type="dcterms:W3CDTF">2019-06-12T10:29:00Z</dcterms:modified>
</cp:coreProperties>
</file>